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482" w:firstLineChars="200"/>
        <w:rPr>
          <w:rFonts w:hAnsi="宋体"/>
          <w:b/>
          <w:sz w:val="24"/>
          <w:szCs w:val="24"/>
        </w:rPr>
      </w:pPr>
      <w:bookmarkStart w:id="0" w:name="_GoBack"/>
      <w:r>
        <w:rPr>
          <w:rFonts w:hint="eastAsia" w:hAnsi="宋体"/>
          <w:b/>
          <w:sz w:val="24"/>
          <w:szCs w:val="24"/>
        </w:rPr>
        <w:t>附件3：评分标准</w:t>
      </w:r>
    </w:p>
    <w:bookmarkEnd w:id="0"/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2"/>
        <w:gridCol w:w="988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37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ind w:firstLine="4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</w:tc>
        <w:tc>
          <w:tcPr>
            <w:tcW w:w="5681" w:type="dxa"/>
            <w:vAlign w:val="center"/>
          </w:tcPr>
          <w:p>
            <w:pPr>
              <w:spacing w:line="360" w:lineRule="auto"/>
              <w:ind w:firstLine="41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商务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部分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ind w:firstLine="37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投标价格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ind w:firstLine="4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60分</w:t>
            </w:r>
          </w:p>
        </w:tc>
        <w:tc>
          <w:tcPr>
            <w:tcW w:w="5681" w:type="dxa"/>
          </w:tcPr>
          <w:p>
            <w:pPr>
              <w:spacing w:line="360" w:lineRule="auto"/>
              <w:ind w:firstLine="408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采用固定</w:t>
            </w:r>
            <w:r>
              <w:rPr>
                <w:rFonts w:hint="eastAsia" w:ascii="宋体" w:hAnsi="宋体"/>
                <w:kern w:val="0"/>
                <w:szCs w:val="21"/>
              </w:rPr>
              <w:t>得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分和竞争分之和计算。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1、有效投标报价的确定：本项目有效投标报价是指投标文件初步评审合格、资格审查合格并满足磋商文件要求的投标人的报价。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2、磋商基准价的确定：磋商基准价为各有效投标报价的算术平均值。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3、得分评定标准：30分为固定得分，30分为竞争分， 以磋商基准价为基数（Q），投标人投标报价（T）等于基准价的得满分60分，其他投标人投标报价得分按下列公式计算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每高于基准价得分=30+［30-（T-Q）/Q×1］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每低于基准价得分=30+［30-（Q-T）/Q×1］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56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质保及售后服务承诺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10分</w:t>
            </w:r>
          </w:p>
        </w:tc>
        <w:tc>
          <w:tcPr>
            <w:tcW w:w="5681" w:type="dxa"/>
            <w:vAlign w:val="center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1、在满足磋商文件要求的交货期基础上，供应商承诺提前交货的，每减少3天加1分，最多5分。（需提供承诺函原件）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2、供应商承诺在质保期内针对用户提出维修需求，能在2小时内做出维修响应，4小时内到达用户现场的得5分。（需提供承诺函原件）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6" w:type="dxa"/>
            <w:vMerge w:val="continue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技术参数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20分</w:t>
            </w:r>
          </w:p>
        </w:tc>
        <w:tc>
          <w:tcPr>
            <w:tcW w:w="5681" w:type="dxa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各评委根据投标产品对磋商文件的技术参数、技术要求的响应程度进行比较、评议。全部响应得20分，★项每负偏离一项扣2分，其他每负偏离一项扣0.5分，扣完为止。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6" w:type="dxa"/>
            <w:vMerge w:val="continue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681" w:type="dxa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投标产品符合《机动车运行安全技术条件》，在车辆技术配置上有优于同等级别车型的能力或配置，评委根据其特性及实际情况的契合度得1-2分，本项最多得5分。提供相关资料。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6" w:type="dxa"/>
            <w:vMerge w:val="continue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配件材料优惠政策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681" w:type="dxa"/>
          </w:tcPr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供应商提供配件材料优惠政策，按优惠程度评分。</w:t>
            </w:r>
          </w:p>
          <w:p>
            <w:pPr>
              <w:spacing w:line="360" w:lineRule="auto"/>
              <w:ind w:firstLine="4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优惠政策最高的得5分，优惠政策第二大的得3分，其他不得分。（须附配件中心库承诺函）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5E0A"/>
    <w:rsid w:val="66F35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2020-12-15T07:01:00Z</dcterms:created>
  <dc:creator>黄石</dc:creator>
  <cp:lastModifiedBy>黄石</cp:lastModifiedBy>
  <dcterms:modified xsi:type="dcterms:W3CDTF">2020-12-15T07:03:54Z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